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0.png" ContentType="image/png"/>
  <Override PartName="/word/media/rId39.png" ContentType="image/png"/>
  <Override PartName="/word/media/rId43.png" ContentType="image/png"/>
  <Override PartName="/word/media/rId33.png" ContentType="image/png"/>
  <Override PartName="/word/media/rId27.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(Bennett et al. 2015;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r>
        <w:t xml:space="preserve"> </w:t>
      </w:r>
      <w:r>
        <w:t xml:space="preserve">We want to know how changes in CO</w:t>
      </w:r>
      <w:r>
        <w:rPr>
          <w:vertAlign w:val="subscript"/>
        </w:rPr>
        <w:t xml:space="preserve">2</w:t>
      </w:r>
      <w:r>
        <w:t xml:space="preserve"> </w:t>
      </w:r>
      <w:r>
        <w:t xml:space="preserve">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One commonly applied approach is to assume that</w:t>
      </w:r>
      <w:r>
        <w:t xml:space="preserve"> </w:t>
      </w:r>
      <m:oMath>
        <m:r>
          <m:t>B</m:t>
        </m:r>
        <m:r>
          <m:t>A</m:t>
        </m:r>
        <m:r>
          <m:t>I</m:t>
        </m:r>
      </m:oMath>
      <w:r>
        <w:t xml:space="preserve"> </w:t>
      </w:r>
      <w:r>
        <w:t xml:space="preserve">is fundamentally independent of size (DENDRO_REFS).</w:t>
      </w:r>
      <w:r>
        <w:t xml:space="preserve"> </w:t>
      </w:r>
      <w:r>
        <w:t xml:space="preserve">None of these methods is fully satisfactory, leaving great uncertainty as to what the tree-ring record can tell us about the impact of rising CO</w:t>
      </w:r>
      <w:r>
        <w:rPr>
          <w:vertAlign w:val="subscript"/>
        </w:rPr>
        <w:t xml:space="preserve">2</w:t>
      </w:r>
      <w:r>
        <w:t xml:space="preserve"> </w:t>
      </w:r>
      <w:r>
        <w:t xml:space="preserve">(Walker et al. in revision).</w:t>
      </w:r>
      <w:r>
        <w:t xml:space="preserve"> </w:t>
      </w:r>
      <w:r>
        <w:t xml:space="preserve">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Δ</m:t>
        </m:r>
        <m:r>
          <m:t>r</m:t>
        </m:r>
      </m:oMath>
      <w:r>
        <w:t xml:space="preserve">,</w:t>
      </w:r>
      <w:r>
        <w:t xml:space="preserve"> </w:t>
      </w:r>
      <m:oMath>
        <m:r>
          <m:t>B</m:t>
        </m:r>
        <m:r>
          <m:t>A</m:t>
        </m:r>
        <m:r>
          <m:t>I</m:t>
        </m:r>
      </m:oMath>
      <w:r>
        <w:t xml:space="preserve">,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environemental drivers (CO</w:t>
      </w:r>
      <w:r>
        <w:rPr>
          <w:vertAlign w:val="subscript"/>
        </w:rPr>
        <w:t xml:space="preserve">2</w:t>
      </w:r>
      <w:r>
        <w:t xml:space="preserve">, atmospheric deposition)? (</w:t>
      </w:r>
      <w:r>
        <w:rPr>
          <w:i/>
        </w:rPr>
        <w:t xml:space="preserve">perhaps save 5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25" w:name="materials-and-methods"/>
      <w:bookmarkEnd w:id="25"/>
      <w:r>
        <w:t xml:space="preserve">Materials and Methods</w:t>
      </w:r>
    </w:p>
    <w:p>
      <w:pPr>
        <w:pStyle w:val="Heading4"/>
      </w:pPr>
      <w:bookmarkStart w:id="26" w:name="data-sources-and-preparation"/>
      <w:bookmarkEnd w:id="26"/>
      <w:r>
        <w:t xml:space="preserve">Data sources and preparation</w:t>
      </w:r>
    </w:p>
    <w:p>
      <w:pPr>
        <w:pStyle w:val="FirstParagraph"/>
      </w:pPr>
      <w:r>
        <w:t xml:space="preserve">We analyzed previously collected tree-ring data from # sites of the Forest Global Earth Observatory (ForestGEO; Anderson-Teixeira et al. 2015)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 (</w:t>
      </w:r>
      <w:hyperlink r:id="rId28">
        <w:r>
          <w:rPr>
            <w:rStyle w:val="Hyperlink"/>
          </w:rPr>
          <w:t xml:space="preserve">Caillerete et al. 2017</w:t>
        </w:r>
      </w:hyperlink>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v.4.0X (Harris et al. 2014,</w:t>
      </w:r>
      <w:r>
        <w:t xml:space="preserve"> </w:t>
      </w:r>
      <w:hyperlink r:id="rId29">
        <w:r>
          <w:rPr>
            <w:rStyle w:val="Hyperlink"/>
          </w:rPr>
          <w:t xml:space="preserve">2020</w:t>
        </w:r>
      </w:hyperlink>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hyperlink r:id="rId30">
        <w:r>
          <w:rPr>
            <w:rStyle w:val="Hyperlink"/>
            <w:b/>
          </w:rPr>
          <w:t xml:space="preserve">ISSUE #16 in ForestGEO_dendro</w:t>
        </w:r>
      </w:hyperlink>
      <w:r>
        <w:rPr>
          <w:b/>
        </w:rPr>
        <w:t xml:space="preserve">: obtain data</w:t>
      </w:r>
      <w:r>
        <w:t xml:space="preserve">). Atmospheric deposition… (</w:t>
      </w:r>
      <w:hyperlink r:id="rId31">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2" w:name="analysis-methods"/>
      <w:bookmarkEnd w:id="32"/>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FigureWithCaption"/>
      </w:pPr>
      <w:r>
        <w:drawing>
          <wp:inline>
            <wp:extent cx="5334000" cy="3591344"/>
            <wp:effectExtent b="0" l="0" r="0" t="0"/>
            <wp:docPr descr="Figure 1 | DRAFT Schematic illustrating our analysis process. This analysis is conducted separately for each sit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3"/>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 (Harris et al. 2014,</w:t>
      </w:r>
      <w:r>
        <w:t xml:space="preserve"> </w:t>
      </w:r>
      <w:hyperlink r:id="rId29">
        <w:r>
          <w:rPr>
            <w:rStyle w:val="Hyperlink"/>
          </w:rPr>
          <w:t xml:space="preserve">2020</w:t>
        </w:r>
      </w:hyperlink>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hyperlink r:id="rId34">
        <w:r>
          <w:rPr>
            <w:rStyle w:val="Hyperlink"/>
          </w:rPr>
          <w:t xml:space="preserve">(van de Pol et. al. 2016)</w:t>
        </w:r>
      </w:hyperlink>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 (CLIMWIN_REF).</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If PET came out as the best variable in both temperature and cloud cover groups, there were only two candidate variables for the GAM.</w:t>
      </w:r>
      <w:r>
        <w:t xml:space="preserve"> </w:t>
      </w:r>
      <w:r>
        <w:t xml:space="preserve">If it came out as the best variable in one but not both of these groups, it was dropped from the analysis, on the logic that it was an inferior predictor to a related variable.</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hyperlink r:id="rId35">
        <w:r>
          <w:rPr>
            <w:rStyle w:val="Hyperlink"/>
            <w:b/>
          </w:rPr>
          <w:t xml:space="preserve">ISSUE #35 in ForestGEO-climate-sensitivity</w:t>
        </w:r>
      </w:hyperlink>
      <w:r>
        <w:rPr>
          <w:b/>
        </w:rPr>
        <w:t xml:space="preserve">: do a standardized analysis similar to Helcoski et al. for each site? or just compare with previous studies for each site?</w:t>
      </w:r>
      <w:r>
        <w:t xml:space="preserve">)</w:t>
      </w:r>
      <w:r>
        <w:t xml:space="preserve"> </w:t>
      </w:r>
      <w:r>
        <w:t xml:space="preserve">(</w:t>
      </w:r>
      <w:hyperlink r:id="rId36">
        <w:r>
          <w:rPr>
            <w:rStyle w:val="Hyperlink"/>
            <w:b/>
          </w:rPr>
          <w:t xml:space="preserve">ISSUE #34 in ForestGEO-climate-sensitivity</w:t>
        </w:r>
      </w:hyperlink>
      <w:r>
        <w:rPr>
          <w:b/>
        </w:rPr>
        <w:t xml:space="preserve">: check that we get similar results with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 (Sniderhan &amp; Baltzer 2016).</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7">
        <w:r>
          <w:rPr>
            <w:rStyle w:val="Hyperlink"/>
            <w:b/>
          </w:rPr>
          <w:t xml:space="preserve">ISSUE #25 in ForestGEO-climate-sensitivity</w:t>
        </w:r>
      </w:hyperlink>
      <w:r>
        <w:rPr>
          <w:b/>
        </w:rPr>
        <w:t xml:space="preserve">: How do we solve this?</w:t>
      </w:r>
      <w:r>
        <w:t xml:space="preserve">)</w:t>
      </w:r>
    </w:p>
    <w:p>
      <w:pPr>
        <w:pStyle w:val="BodyText"/>
      </w:pPr>
      <w:r>
        <w:rPr>
          <w:i/>
        </w:rPr>
        <w:t xml:space="preserve">Combining drivers in GLS model</w:t>
      </w:r>
    </w:p>
    <w:p>
      <w:pPr>
        <w:pStyle w:val="BodyText"/>
      </w:pPr>
      <w:r>
        <w:t xml:space="preserve">Second, we combined DBH, climate, and atmospheric pollution data in a GLS model (Fig. 1).</w:t>
      </w:r>
      <w:r>
        <w:t xml:space="preserve"> </w:t>
      </w:r>
      <w:r>
        <w:t xml:space="preserve">[</w:t>
      </w:r>
      <w:r>
        <w:rPr>
          <w:b/>
        </w:rPr>
        <w:t xml:space="preserve">DESCRIBE GLS</w:t>
      </w:r>
      <w:r>
        <w:t xml:space="preserve">]</w:t>
      </w:r>
    </w:p>
    <w:p>
      <w:pPr>
        <w:pStyle w:val="Heading3"/>
      </w:pPr>
      <w:bookmarkStart w:id="38" w:name="results"/>
      <w:bookmarkEnd w:id="38"/>
      <w:r>
        <w:t xml:space="preserve">Results</w:t>
      </w:r>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 2).</w:t>
      </w:r>
    </w:p>
    <w:p>
      <w:pPr>
        <w:pStyle w:val="FigureWithCaption"/>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9"/>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3).</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719494"/>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40"/>
                    <a:stretch>
                      <a:fillRect/>
                    </a:stretch>
                  </pic:blipFill>
                  <pic:spPr bwMode="auto">
                    <a:xfrm>
                      <a:off x="0" y="0"/>
                      <a:ext cx="5334000" cy="3719494"/>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t xml:space="preserve">**</w:t>
      </w:r>
      <w:r>
        <w:t xml:space="preserve"> </w:t>
      </w:r>
      <m:oMath>
        <m:r>
          <m:t>Δ</m:t>
        </m:r>
        <m:r>
          <m:t>r</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all varied with</w:t>
      </w:r>
      <w:r>
        <w:t xml:space="preserve"> </w:t>
      </w:r>
      <m:oMath>
        <m:r>
          <m:t>D</m:t>
        </m:r>
        <m:r>
          <m:t>B</m:t>
        </m:r>
        <m:r>
          <m:t>H</m:t>
        </m:r>
      </m:oMath>
      <w:r>
        <w:t xml:space="preserve">.**</w:t>
      </w:r>
      <w:r>
        <w:t xml:space="preserve"> </w:t>
      </w:r>
      <w:r>
        <w:t xml:space="preserve">For</w:t>
      </w:r>
      <w:r>
        <w:t xml:space="preserve"> </w:t>
      </w:r>
      <m:oMath>
        <m:r>
          <m:t>Δ</m:t>
        </m:r>
        <m:r>
          <m:t>r</m:t>
        </m:r>
      </m:oMath>
      <w:r>
        <w:t xml:space="preserve">, the general tendency (with just a couple exceptions) was a decline with DBH, often following an initial increase (Fig. 4a).</w:t>
      </w:r>
      <w:r>
        <w:t xml:space="preserve"> </w:t>
      </w:r>
      <m:oMath>
        <m:r>
          <m:t>B</m:t>
        </m:r>
        <m:r>
          <m:t>A</m:t>
        </m:r>
        <m:r>
          <m:t>I</m:t>
        </m:r>
      </m:oMath>
      <w:r>
        <w:t xml:space="preserve"> </w:t>
      </w:r>
      <w:r>
        <w:t xml:space="preserve">most commonly exibited a unimodal relationship (Fig. 4b).</w:t>
      </w:r>
      <w:r>
        <w:t xml:space="preserve"> </w:t>
      </w:r>
      <m:oMath>
        <m:r>
          <m:t>Δ</m:t>
        </m:r>
        <m:r>
          <m:t>A</m:t>
        </m:r>
        <m:r>
          <m:t>G</m:t>
        </m:r>
        <m:r>
          <m:t>B</m:t>
        </m:r>
      </m:oMath>
      <w:r>
        <w:t xml:space="preserve"> </w:t>
      </w:r>
      <w:r>
        <w:t xml:space="preserve">also commonly exibited a unimodal relationship, although tending to peak at larger DBH (Fig. 4c).</w:t>
      </w:r>
    </w:p>
    <w:p>
      <w:pPr>
        <w:pStyle w:val="FigureWithCaption"/>
      </w:pPr>
      <w:r>
        <w:drawing>
          <wp:inline>
            <wp:extent cx="5334000" cy="7083955"/>
            <wp:effectExtent b="0" l="0" r="0" t="0"/>
            <wp:docPr descr="Figure 4 | Growth sensitivity to DBH: (a) \Delta r, (b) BAI, (c) \Delta AGB. THIS FIGURE IS JUST A ROUGH COMPILATION OF RESULTS SO FAR (including known issues–e.g., SCBI). Ideally, I’d like to plot all sites together, meaning we probably have to lose species IDs (plots with species IDs can be shown in appendix)."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41"/>
                    <a:stretch>
                      <a:fillRect/>
                    </a:stretch>
                  </pic:blipFill>
                  <pic:spPr bwMode="auto">
                    <a:xfrm>
                      <a:off x="0" y="0"/>
                      <a:ext cx="5334000" cy="7083955"/>
                    </a:xfrm>
                    <a:prstGeom prst="rect">
                      <a:avLst/>
                    </a:prstGeom>
                    <a:noFill/>
                    <a:ln w="9525">
                      <a:noFill/>
                      <a:headEnd/>
                      <a:tailEnd/>
                    </a:ln>
                  </pic:spPr>
                </pic:pic>
              </a:graphicData>
            </a:graphic>
          </wp:inline>
        </w:drawing>
      </w:r>
    </w:p>
    <w:p>
      <w:pPr>
        <w:pStyle w:val="ImageCaption"/>
      </w:pPr>
      <w:r>
        <w:rPr>
          <w:b/>
        </w:rPr>
        <w:t xml:space="preserve">Figure 4 | Growth sensitivity to DBH:</w:t>
      </w:r>
      <w:r>
        <w:t xml:space="preserve"> </w:t>
      </w:r>
      <w:r>
        <w:t xml:space="preserve">(a)</w:t>
      </w:r>
      <w:r>
        <w:t xml:space="preserve"> </w:t>
      </w:r>
      <m:oMath>
        <m:r>
          <m:t>Δ</m:t>
        </m:r>
        <m:r>
          <m:t>r</m:t>
        </m:r>
      </m:oMath>
      <w:r>
        <w:t xml:space="preserve">, (b)</w:t>
      </w:r>
      <w:r>
        <w:t xml:space="preserve"> </w:t>
      </w:r>
      <m:oMath>
        <m:r>
          <m:t>B</m:t>
        </m:r>
        <m:r>
          <m:t>A</m:t>
        </m:r>
        <m:r>
          <m:t>I</m:t>
        </m:r>
      </m:oMath>
      <w:r>
        <w:t xml:space="preserve">, (c)</w:t>
      </w:r>
      <w:r>
        <w:t xml:space="preserve"> </w:t>
      </w:r>
      <m:oMath>
        <m:r>
          <m:t>Δ</m:t>
        </m:r>
        <m:r>
          <m:t>A</m:t>
        </m:r>
        <m:r>
          <m:t>G</m:t>
        </m:r>
        <m:r>
          <m:t>B</m:t>
        </m:r>
      </m:oMath>
      <w:r>
        <w:t xml:space="preserve">. THIS FIGURE IS JUST A ROUGH COMPILATION OF RESULTS SO FAR (including known issues–e.g., SCBI). Ideally, I’d like to plot all sites together, meaning we probably have to lose species IDs (plots with species IDs can be shown in appendix).</w:t>
      </w:r>
    </w:p>
    <w:p>
      <w:pPr>
        <w:pStyle w:val="BodyText"/>
      </w:pPr>
      <w:r>
        <w:rPr>
          <w:i/>
        </w:rPr>
        <w:t xml:space="preserve">Climate-DBH interactions</w:t>
      </w:r>
    </w:p>
    <w:p>
      <w:pPr>
        <w:pStyle w:val="BodyText"/>
      </w:pPr>
      <w:r>
        <w:t xml:space="preserve">We get different climate senstivity results with the different metrics of growth (Fig. 5?).</w:t>
      </w:r>
      <w:r>
        <w:t xml:space="preserve"> </w:t>
      </w:r>
      <w:r>
        <w:t xml:space="preserve">Preliminary review of some early results indicates that the</w:t>
      </w:r>
      <w:r>
        <w:t xml:space="preserve"> </w:t>
      </w:r>
      <w:r>
        <w:t xml:space="preserve">“</w:t>
      </w:r>
      <w:r>
        <w:t xml:space="preserve">landscape</w:t>
      </w:r>
      <w:r>
        <w:t xml:space="preserve">”</w:t>
      </w:r>
      <w:r>
        <w:t xml:space="preserve"> </w:t>
      </w:r>
      <w:r>
        <w:t xml:space="preserve">of climate effects over various time windows is generally similar across the three metrics of growth, but that the optimal time window or even the top climate variable in a group can shift.</w:t>
      </w:r>
      <w:r>
        <w:t xml:space="preserve"> </w:t>
      </w:r>
      <w:r>
        <w:t xml:space="preserve">(</w:t>
      </w:r>
      <w:r>
        <w:rPr>
          <w:b/>
        </w:rPr>
        <w:t xml:space="preserve">See</w:t>
      </w:r>
      <w:r>
        <w:rPr>
          <w:b/>
        </w:rPr>
        <w:t xml:space="preserve"> </w:t>
      </w:r>
      <w:hyperlink r:id="rId42">
        <w:r>
          <w:rPr>
            <w:rStyle w:val="Hyperlink"/>
            <w:b/>
          </w:rPr>
          <w:t xml:space="preserve">ISSUE #40 in ForestGEO-climate-sensitivity</w:t>
        </w:r>
      </w:hyperlink>
      <w:r>
        <w:t xml:space="preserve">).</w:t>
      </w:r>
    </w:p>
    <w:p>
      <w:pPr>
        <w:pStyle w:val="BodyText"/>
      </w:pPr>
      <w:r>
        <w:t xml:space="preserve">The underlying cause of these differences would be differences in the variance structure, where growth residuals would tend to be greater (in absolute value) when growth rate is high. Thus, use of</w:t>
      </w:r>
      <w:r>
        <w:t xml:space="preserve"> </w:t>
      </w:r>
      <m:oMath>
        <m:r>
          <m:t>Δ</m:t>
        </m:r>
        <m:r>
          <m:t>r</m:t>
        </m:r>
      </m:oMath>
      <w:r>
        <w:t xml:space="preserve"> </w:t>
      </w:r>
      <w:r>
        <w:t xml:space="preserve">as a growth metric would tend to place proportionaly more weight on smaller</w:t>
      </w:r>
      <w:r>
        <w:t xml:space="preserve"> </w:t>
      </w:r>
      <m:oMath>
        <m:r>
          <m:t>D</m:t>
        </m:r>
        <m:r>
          <m:t>B</m:t>
        </m:r>
        <m:r>
          <m:t>H</m:t>
        </m:r>
        <m:r>
          <m:t>s</m:t>
        </m:r>
      </m:oMath>
      <w:r>
        <w:t xml:space="preserve">, whereas</w:t>
      </w:r>
      <w:r>
        <w:t xml:space="preserve"> </w:t>
      </w:r>
      <m:oMath>
        <m:r>
          <m:t>Δ</m:t>
        </m:r>
        <m:r>
          <m:t>A</m:t>
        </m:r>
        <m:r>
          <m:t>G</m:t>
        </m:r>
        <m:r>
          <m:t>B</m:t>
        </m:r>
      </m:oMath>
      <w:r>
        <w:t xml:space="preserve"> </w:t>
      </w:r>
      <w:r>
        <w:t xml:space="preserve">would tend to place more weight on larger individuals, with</w:t>
      </w:r>
      <w:r>
        <w:t xml:space="preserve"> </w:t>
      </w:r>
      <m:oMath>
        <m:r>
          <m:t>B</m:t>
        </m:r>
        <m:r>
          <m:t>A</m:t>
        </m:r>
        <m:r>
          <m:t>I</m:t>
        </m:r>
      </m:oMath>
      <w:r>
        <w:t xml:space="preserve"> </w:t>
      </w:r>
      <w:r>
        <w:t xml:space="preserve">internediate (Fig. 4). (</w:t>
      </w:r>
      <w:r>
        <w:rPr>
          <w:b/>
        </w:rPr>
        <w:t xml:space="preserve">Christy, please check/revise</w:t>
      </w:r>
      <w:r>
        <w:t xml:space="preserve">)</w:t>
      </w:r>
      <w:r>
        <w:t xml:space="preserve"> </w:t>
      </w:r>
      <w:r>
        <w:t xml:space="preserve">The degree to which climate senstivity landscapes differ across growth metrics should depend on the size structure of the data and the existence/strength of climate-DBH interactions.</w:t>
      </w:r>
    </w:p>
    <w:p>
      <w:pPr>
        <w:pStyle w:val="FigureWithCaption"/>
      </w:pPr>
      <w:r>
        <w:drawing>
          <wp:inline>
            <wp:extent cx="5334000" cy="4958262"/>
            <wp:effectExtent b="0" l="0" r="0" t="0"/>
            <wp:docPr descr="Figure 5 | Comparison of climwin output by growth metric: Current example is PET at Lilly Dickey, selected mainly because data/model for other sites aren’t yet stable. (I’m not sure if this is interesting enough to present in the main text. If not, we should have at least one example in the SI)" id="1" name="Picture"/>
            <a:graphic>
              <a:graphicData uri="http://schemas.openxmlformats.org/drawingml/2006/picture">
                <pic:pic>
                  <pic:nvPicPr>
                    <pic:cNvPr descr="tables_figures/climwin_by_growth_metric.png" id="0" name="Picture"/>
                    <pic:cNvPicPr>
                      <a:picLocks noChangeArrowheads="1" noChangeAspect="1"/>
                    </pic:cNvPicPr>
                  </pic:nvPicPr>
                  <pic:blipFill>
                    <a:blip r:embed="rId43"/>
                    <a:stretch>
                      <a:fillRect/>
                    </a:stretch>
                  </pic:blipFill>
                  <pic:spPr bwMode="auto">
                    <a:xfrm>
                      <a:off x="0" y="0"/>
                      <a:ext cx="5334000" cy="4958262"/>
                    </a:xfrm>
                    <a:prstGeom prst="rect">
                      <a:avLst/>
                    </a:prstGeom>
                    <a:noFill/>
                    <a:ln w="9525">
                      <a:noFill/>
                      <a:headEnd/>
                      <a:tailEnd/>
                    </a:ln>
                  </pic:spPr>
                </pic:pic>
              </a:graphicData>
            </a:graphic>
          </wp:inline>
        </w:drawing>
      </w:r>
    </w:p>
    <w:p>
      <w:pPr>
        <w:pStyle w:val="ImageCaption"/>
      </w:pPr>
      <w:r>
        <w:rPr>
          <w:b/>
        </w:rPr>
        <w:t xml:space="preserve">Figure 5 | Comparison of climwin output by growth metric:</w:t>
      </w:r>
      <w:r>
        <w:t xml:space="preserve"> </w:t>
      </w:r>
      <w:r>
        <w:t xml:space="preserve">Current example is PET at Lilly Dickey, selected mainly because data/model for other sites aren’t yet stable. (I’m not sure if this is interesting enough to present in the main text. If not, we should have at least one example in the SI)</w:t>
      </w:r>
    </w:p>
    <w:p>
      <w:pPr>
        <w:pStyle w:val="BodyText"/>
      </w:pPr>
      <w:r>
        <w:rPr>
          <w:b/>
        </w:rPr>
        <w:t xml:space="preserve">Table / figure on climate - DBH interactions?</w:t>
      </w:r>
      <w:r>
        <w:t xml:space="preserve"> </w:t>
      </w:r>
      <w:r>
        <w:t xml:space="preserve">(</w:t>
      </w:r>
      <w:r>
        <w:rPr>
          <w:i/>
        </w:rPr>
        <w:t xml:space="preserve">See</w:t>
      </w:r>
      <w:r>
        <w:rPr>
          <w:i/>
        </w:rPr>
        <w:t xml:space="preserve"> </w:t>
      </w:r>
      <w:hyperlink r:id="rId44">
        <w:r>
          <w:rPr>
            <w:rStyle w:val="Hyperlink"/>
            <w:i/>
          </w:rPr>
          <w:t xml:space="preserve">ISSUE #42 in ForestGEO-climate-sensitivity</w:t>
        </w:r>
      </w:hyperlink>
      <w:r>
        <w:t xml:space="preserve">)</w:t>
      </w:r>
    </w:p>
    <w:p>
      <w:pPr>
        <w:pStyle w:val="BodyText"/>
      </w:pPr>
      <w:r>
        <w:rPr>
          <w:i/>
        </w:rPr>
        <w:t xml:space="preserve">Influence of atmospheric pollution</w:t>
      </w:r>
    </w:p>
    <w:p>
      <w:pPr>
        <w:pStyle w:val="BodyText"/>
      </w:pPr>
      <w:r>
        <w:rPr>
          <w:b/>
        </w:rPr>
        <w:t xml:space="preserve">Figure showing effects of CO2, SO2, NOx</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45" w:name="discussion"/>
      <w:bookmarkEnd w:id="45"/>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climate is rapdidly changing</w:t>
      </w:r>
      <w:r>
        <w:t xml:space="preserve"> </w:t>
      </w:r>
      <w:hyperlink r:id="rId37">
        <w:r>
          <w:rPr>
            <w:rStyle w:val="Hyperlink"/>
          </w:rPr>
          <w:t xml:space="preserve">ISSUE #25 in ForestGEO-climate-sensitivity</w:t>
        </w:r>
      </w:hyperlink>
      <w:r>
        <w:t xml:space="preserve">.</w:t>
      </w:r>
    </w:p>
    <w:p>
      <w:pPr>
        <w:pStyle w:val="BodyText"/>
      </w:pPr>
      <w:r>
        <w:rPr>
          <w:b/>
        </w:rPr>
        <w:t xml:space="preserve">Our analysis of growth trends with DBH yields several novel insights for dendrochronology and forest ecology.</w:t>
      </w:r>
      <w:r>
        <w:t xml:space="preserve"> </w:t>
      </w:r>
      <w:r>
        <w:t xml:space="preserve">First, the observation that</w:t>
      </w:r>
      <w:r>
        <w:t xml:space="preserve"> </w:t>
      </w:r>
      <m:oMath>
        <m:r>
          <m:t>Δ</m:t>
        </m:r>
        <m:r>
          <m:t>r</m:t>
        </m:r>
      </m:oMath>
      <w:r>
        <w:t xml:space="preserve"> </w:t>
      </w:r>
      <w:r>
        <w:t xml:space="preserve">typically declines with tree size in cored individuals, often following initial increase during juvenile growth phase, is consistent with many previous observations from tree-ring records (DENDRO_REFS).</w:t>
      </w:r>
      <w:r>
        <w:t xml:space="preserve"> </w:t>
      </w:r>
      <w:r>
        <w:t xml:space="preserve">This contrasts with patterns observed at the stand level (Muller-Landau et al. 2006, Piponiot et al. in prep)– presumably because [the sample of cored trees (survivors) doesn’t match forest composition] (</w:t>
      </w:r>
      <w:r>
        <w:rPr>
          <w:i/>
        </w:rPr>
        <w:t xml:space="preserve">cite paper that I reviewed several years back</w:t>
      </w:r>
      <w:r>
        <w:t xml:space="preserve">).</w:t>
      </w:r>
      <w:r>
        <w:t xml:space="preserve"> </w:t>
      </w:r>
      <w:r>
        <w:t xml:space="preserve">Non-independence of</w:t>
      </w:r>
      <w:r>
        <w:t xml:space="preserve"> </w:t>
      </w:r>
      <m:oMath>
        <m:r>
          <m:t>B</m:t>
        </m:r>
        <m:r>
          <m:t>A</m:t>
        </m:r>
        <m:r>
          <m:t>I</m:t>
        </m:r>
      </m:oMath>
      <w:r>
        <w:t xml:space="preserve"> </w:t>
      </w:r>
      <w:r>
        <w:t xml:space="preserve">from</w:t>
      </w:r>
      <w:r>
        <w:t xml:space="preserve"> </w:t>
      </w:r>
      <m:oMath>
        <m:r>
          <m:t>D</m:t>
        </m:r>
        <m:r>
          <m:t>B</m:t>
        </m:r>
        <m:r>
          <m:t>H</m:t>
        </m:r>
      </m:oMath>
      <w:r>
        <w:t xml:space="preserve"> </w:t>
      </w:r>
      <w:r>
        <w:t xml:space="preserve">negates assumption that</w:t>
      </w:r>
      <w:r>
        <w:t xml:space="preserve"> </w:t>
      </w:r>
      <m:oMath>
        <m:r>
          <m:t>B</m:t>
        </m:r>
        <m:r>
          <m:t>A</m:t>
        </m:r>
        <m:r>
          <m:t>I</m:t>
        </m:r>
      </m:oMath>
      <w:r>
        <w:t xml:space="preserve"> </w:t>
      </w:r>
      <w:r>
        <w:t xml:space="preserve">can be used as a DBH-independent metric of tree growth.</w:t>
      </w:r>
      <w:r>
        <w:t xml:space="preserve"> </w:t>
      </w:r>
      <w:r>
        <w:t xml:space="preserve">Our finding that</w:t>
      </w:r>
      <w:r>
        <w:t xml:space="preserve"> </w:t>
      </w:r>
      <m:oMath>
        <m:r>
          <m:t>Δ</m:t>
        </m:r>
        <m:r>
          <m:t>A</m:t>
        </m:r>
        <m:r>
          <m:t>G</m:t>
        </m:r>
        <m:r>
          <m:t>B</m:t>
        </m:r>
      </m:oMath>
      <w:r>
        <w:t xml:space="preserve"> </w:t>
      </w:r>
      <w:r>
        <w:t xml:space="preserve">is most commonly unimodal is surprising in that it contrasts with many previous findings and theoretical expectations (Stephenson et al, check Foster et al. 2006; check Piponiot et al. in prep). [EXPAND]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DBH is not always collected when cores are taken, and is not routinely preserved alongside tree-ring data. For example, the International Tree-Ring Data Bank (ITRDB) contains no structure for storing DBH records. DEN is new alternative.</w:t>
      </w:r>
    </w:p>
    <w:p>
      <w:pPr>
        <w:pStyle w:val="Heading3"/>
      </w:pPr>
      <w:bookmarkStart w:id="46" w:name="acknowledgements"/>
      <w:bookmarkEnd w:id="46"/>
      <w:r>
        <w:t xml:space="preserve">Acknowledgements</w:t>
      </w:r>
    </w:p>
    <w:p>
      <w:pPr>
        <w:pStyle w:val="FirstParagraph"/>
      </w:pPr>
      <w:r>
        <w:t xml:space="preserve">Scholarly Studies</w:t>
      </w:r>
    </w:p>
    <w:p>
      <w:pPr>
        <w:pStyle w:val="Heading3"/>
      </w:pPr>
      <w:bookmarkStart w:id="47" w:name="authors-contributions"/>
      <w:bookmarkEnd w:id="47"/>
      <w:r>
        <w:t xml:space="preserve">Authors’ contributions</w:t>
      </w:r>
    </w:p>
    <w:p>
      <w:pPr>
        <w:pStyle w:val="Heading3"/>
      </w:pPr>
      <w:bookmarkStart w:id="48" w:name="references"/>
      <w:bookmarkEnd w:id="48"/>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0ae4b9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8d1159c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hyperlink" Id="rId34" Target="https://besjournals.onlinelibrary.wiley.com/doi/full/10.1111/2041-210X.12590" TargetMode="External" /><Relationship Type="http://schemas.openxmlformats.org/officeDocument/2006/relationships/hyperlink" Id="rId28" Target="https://github.com/EcoClimLab/ForestGEO-climate-sensitivity/blob/master/doc/references/Cailleret_et_al-2017-GCB.pdf" TargetMode="External" /><Relationship Type="http://schemas.openxmlformats.org/officeDocument/2006/relationships/hyperlink" Id="rId37" Target="https://github.com/EcoClimLab/ForestGEO-climate-sensitivity/issues/25" TargetMode="External" /><Relationship Type="http://schemas.openxmlformats.org/officeDocument/2006/relationships/hyperlink" Id="rId36" Target="https://github.com/EcoClimLab/ForestGEO-climate-sensitivity/issues/34" TargetMode="External" /><Relationship Type="http://schemas.openxmlformats.org/officeDocument/2006/relationships/hyperlink" Id="rId35" Target="https://github.com/EcoClimLab/ForestGEO-climate-sensitivity/issues/35" TargetMode="External" /><Relationship Type="http://schemas.openxmlformats.org/officeDocument/2006/relationships/hyperlink" Id="rId42"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4" Target="https://github.com/EcoClimLab/ForestGEO-climate-sensitivity/issues/42" TargetMode="External" /><Relationship Type="http://schemas.openxmlformats.org/officeDocument/2006/relationships/hyperlink" Id="rId30" Target="https://github.com/EcoClimLab/ForestGEO_dendro/issues/16" TargetMode="External" /><Relationship Type="http://schemas.openxmlformats.org/officeDocument/2006/relationships/hyperlink" Id="rId31" Target="https://github.com/EcoClimLab/ForestGEO_dendro/issues/17" TargetMode="External" /><Relationship Type="http://schemas.openxmlformats.org/officeDocument/2006/relationships/hyperlink" Id="rId29" Target="https://rdcu.be/b3U3e"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34" Target="https://besjournals.onlinelibrary.wiley.com/doi/full/10.1111/2041-210X.12590" TargetMode="External" /><Relationship Type="http://schemas.openxmlformats.org/officeDocument/2006/relationships/hyperlink" Id="rId28" Target="https://github.com/EcoClimLab/ForestGEO-climate-sensitivity/blob/master/doc/references/Cailleret_et_al-2017-GCB.pdf" TargetMode="External" /><Relationship Type="http://schemas.openxmlformats.org/officeDocument/2006/relationships/hyperlink" Id="rId37" Target="https://github.com/EcoClimLab/ForestGEO-climate-sensitivity/issues/25" TargetMode="External" /><Relationship Type="http://schemas.openxmlformats.org/officeDocument/2006/relationships/hyperlink" Id="rId36" Target="https://github.com/EcoClimLab/ForestGEO-climate-sensitivity/issues/34" TargetMode="External" /><Relationship Type="http://schemas.openxmlformats.org/officeDocument/2006/relationships/hyperlink" Id="rId35" Target="https://github.com/EcoClimLab/ForestGEO-climate-sensitivity/issues/35" TargetMode="External" /><Relationship Type="http://schemas.openxmlformats.org/officeDocument/2006/relationships/hyperlink" Id="rId42"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4" Target="https://github.com/EcoClimLab/ForestGEO-climate-sensitivity/issues/42" TargetMode="External" /><Relationship Type="http://schemas.openxmlformats.org/officeDocument/2006/relationships/hyperlink" Id="rId30" Target="https://github.com/EcoClimLab/ForestGEO_dendro/issues/16" TargetMode="External" /><Relationship Type="http://schemas.openxmlformats.org/officeDocument/2006/relationships/hyperlink" Id="rId31" Target="https://github.com/EcoClimLab/ForestGEO_dendro/issues/17" TargetMode="External" /><Relationship Type="http://schemas.openxmlformats.org/officeDocument/2006/relationships/hyperlink" Id="rId29" Target="https://rdcu.be/b3U3e"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2020-06-08T17:55:40Z</dcterms:created>
  <dcterms:modified xsi:type="dcterms:W3CDTF">2020-06-08T17:55:40Z</dcterms:modified>
</cp:coreProperties>
</file>